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AFB9B" w14:textId="19FCCAB7" w:rsidR="005B088F" w:rsidRPr="005B088F" w:rsidRDefault="005B088F" w:rsidP="005B088F">
      <w:pPr>
        <w:numPr>
          <w:ilvl w:val="0"/>
          <w:numId w:val="1"/>
        </w:numPr>
        <w:tabs>
          <w:tab w:val="clear" w:pos="720"/>
          <w:tab w:val="num" w:pos="360"/>
        </w:tabs>
        <w:spacing w:before="240"/>
        <w:ind w:left="360"/>
        <w:jc w:val="both"/>
        <w:rPr>
          <w:rFonts w:ascii="Arial" w:eastAsia="Times New Roman" w:hAnsi="Arial" w:cs="Arial"/>
          <w:sz w:val="22"/>
          <w:szCs w:val="22"/>
        </w:rPr>
      </w:pPr>
      <w:r w:rsidRPr="005B088F">
        <w:rPr>
          <w:rFonts w:ascii="Arial" w:eastAsia="Times New Roman" w:hAnsi="Arial" w:cs="Arial"/>
          <w:sz w:val="22"/>
          <w:szCs w:val="22"/>
        </w:rPr>
        <w:t xml:space="preserve">Section 11 of the </w:t>
      </w:r>
      <w:r w:rsidRPr="009B45D8">
        <w:rPr>
          <w:rFonts w:ascii="Arial" w:eastAsia="Times New Roman" w:hAnsi="Arial" w:cs="Arial"/>
          <w:i/>
          <w:iCs/>
          <w:sz w:val="22"/>
          <w:szCs w:val="22"/>
        </w:rPr>
        <w:t>Ombudsman Act 2001</w:t>
      </w:r>
      <w:r w:rsidRPr="005B088F">
        <w:rPr>
          <w:rFonts w:ascii="Arial" w:eastAsia="Times New Roman" w:hAnsi="Arial" w:cs="Arial"/>
          <w:sz w:val="22"/>
          <w:szCs w:val="22"/>
        </w:rPr>
        <w:t xml:space="preserve"> (the Act) provides that there is to be an Ombudsman and that the Ombudsman is to be an officer of the Parliament. The functions of the Ombudsman, set out in section 12 of the Act, are:</w:t>
      </w:r>
    </w:p>
    <w:p w14:paraId="10E3263A" w14:textId="34C36DA3" w:rsidR="005B088F" w:rsidRPr="005B088F" w:rsidRDefault="005B088F" w:rsidP="005B088F">
      <w:pPr>
        <w:keepLines/>
        <w:numPr>
          <w:ilvl w:val="0"/>
          <w:numId w:val="4"/>
        </w:numPr>
        <w:tabs>
          <w:tab w:val="num" w:pos="709"/>
        </w:tabs>
        <w:spacing w:before="120"/>
        <w:ind w:left="714" w:hanging="357"/>
        <w:jc w:val="both"/>
        <w:rPr>
          <w:rFonts w:ascii="Arial" w:eastAsia="Times New Roman" w:hAnsi="Arial" w:cs="Arial"/>
          <w:sz w:val="22"/>
          <w:szCs w:val="22"/>
        </w:rPr>
      </w:pPr>
      <w:r w:rsidRPr="005B088F">
        <w:rPr>
          <w:rFonts w:ascii="Arial" w:eastAsia="Times New Roman" w:hAnsi="Arial" w:cs="Arial"/>
          <w:sz w:val="22"/>
          <w:szCs w:val="22"/>
        </w:rPr>
        <w:t>to investigate administrative actions of agencies</w:t>
      </w:r>
      <w:r w:rsidR="00C44470">
        <w:rPr>
          <w:rFonts w:ascii="Arial" w:eastAsia="Times New Roman" w:hAnsi="Arial" w:cs="Arial"/>
          <w:sz w:val="22"/>
          <w:szCs w:val="22"/>
        </w:rPr>
        <w:t>;</w:t>
      </w:r>
    </w:p>
    <w:p w14:paraId="63208E3C" w14:textId="77777777" w:rsidR="005B088F" w:rsidRPr="005B088F" w:rsidRDefault="005B088F" w:rsidP="005B088F">
      <w:pPr>
        <w:keepLines/>
        <w:numPr>
          <w:ilvl w:val="0"/>
          <w:numId w:val="4"/>
        </w:numPr>
        <w:tabs>
          <w:tab w:val="num" w:pos="709"/>
        </w:tabs>
        <w:spacing w:before="120"/>
        <w:ind w:left="714" w:hanging="357"/>
        <w:jc w:val="both"/>
        <w:rPr>
          <w:rFonts w:ascii="Arial" w:eastAsia="Times New Roman" w:hAnsi="Arial" w:cs="Arial"/>
          <w:sz w:val="22"/>
          <w:szCs w:val="22"/>
        </w:rPr>
      </w:pPr>
      <w:r w:rsidRPr="005B088F">
        <w:rPr>
          <w:rFonts w:ascii="Arial" w:eastAsia="Times New Roman" w:hAnsi="Arial" w:cs="Arial"/>
          <w:sz w:val="22"/>
          <w:szCs w:val="22"/>
        </w:rPr>
        <w:t>to consider the administrative practices and procedures of an agency whose actions are being investigated and to make recommendations to the agency:</w:t>
      </w:r>
    </w:p>
    <w:p w14:paraId="72FD6F0F" w14:textId="77777777" w:rsidR="005B088F" w:rsidRPr="005B088F" w:rsidRDefault="005B088F" w:rsidP="0068682B">
      <w:pPr>
        <w:keepLines/>
        <w:numPr>
          <w:ilvl w:val="0"/>
          <w:numId w:val="6"/>
        </w:numPr>
        <w:tabs>
          <w:tab w:val="clear" w:pos="360"/>
          <w:tab w:val="num" w:pos="709"/>
          <w:tab w:val="num" w:pos="1078"/>
        </w:tabs>
        <w:spacing w:before="120"/>
        <w:ind w:left="1080"/>
        <w:jc w:val="both"/>
        <w:rPr>
          <w:rFonts w:ascii="Arial" w:eastAsia="Times New Roman" w:hAnsi="Arial" w:cs="Arial"/>
          <w:sz w:val="22"/>
          <w:szCs w:val="22"/>
        </w:rPr>
      </w:pPr>
      <w:r w:rsidRPr="005B088F">
        <w:rPr>
          <w:rFonts w:ascii="Arial" w:eastAsia="Times New Roman" w:hAnsi="Arial" w:cs="Arial"/>
          <w:sz w:val="22"/>
          <w:szCs w:val="22"/>
        </w:rPr>
        <w:t>about appropriate ways of addressing the effects of inappropriate administrative actions; or</w:t>
      </w:r>
    </w:p>
    <w:p w14:paraId="7F9A756D" w14:textId="77777777" w:rsidR="005B088F" w:rsidRPr="005B088F" w:rsidRDefault="005B088F" w:rsidP="0068682B">
      <w:pPr>
        <w:keepLines/>
        <w:numPr>
          <w:ilvl w:val="0"/>
          <w:numId w:val="6"/>
        </w:numPr>
        <w:tabs>
          <w:tab w:val="clear" w:pos="360"/>
          <w:tab w:val="num" w:pos="709"/>
          <w:tab w:val="num" w:pos="1078"/>
        </w:tabs>
        <w:spacing w:before="120"/>
        <w:ind w:left="1080"/>
        <w:jc w:val="both"/>
        <w:rPr>
          <w:rFonts w:ascii="Arial" w:eastAsia="Times New Roman" w:hAnsi="Arial" w:cs="Arial"/>
          <w:sz w:val="22"/>
          <w:szCs w:val="22"/>
        </w:rPr>
      </w:pPr>
      <w:r w:rsidRPr="005B088F">
        <w:rPr>
          <w:rFonts w:ascii="Arial" w:eastAsia="Times New Roman" w:hAnsi="Arial" w:cs="Arial"/>
          <w:sz w:val="22"/>
          <w:szCs w:val="22"/>
        </w:rPr>
        <w:t xml:space="preserve">for the improvement of the practices and procedures; </w:t>
      </w:r>
    </w:p>
    <w:p w14:paraId="6397D4DA" w14:textId="77777777" w:rsidR="005B088F" w:rsidRPr="005B088F" w:rsidRDefault="005B088F" w:rsidP="005B088F">
      <w:pPr>
        <w:keepLines/>
        <w:numPr>
          <w:ilvl w:val="0"/>
          <w:numId w:val="4"/>
        </w:numPr>
        <w:tabs>
          <w:tab w:val="num" w:pos="709"/>
        </w:tabs>
        <w:spacing w:before="120"/>
        <w:ind w:left="714" w:hanging="357"/>
        <w:jc w:val="both"/>
        <w:rPr>
          <w:rFonts w:ascii="Arial" w:eastAsia="Times New Roman" w:hAnsi="Arial" w:cs="Arial"/>
          <w:sz w:val="22"/>
          <w:szCs w:val="22"/>
        </w:rPr>
      </w:pPr>
      <w:r w:rsidRPr="005B088F">
        <w:rPr>
          <w:rFonts w:ascii="Arial" w:eastAsia="Times New Roman" w:hAnsi="Arial" w:cs="Arial"/>
          <w:sz w:val="22"/>
          <w:szCs w:val="22"/>
        </w:rPr>
        <w:t>to consider the administrative practices and procedures of agencies generally, and to make recommendations or provide advice, training, information or other help to the agencies about ways of improving the quality of administrative practices and procedures;</w:t>
      </w:r>
    </w:p>
    <w:p w14:paraId="52CD8B95" w14:textId="505F2761" w:rsidR="005B088F" w:rsidRDefault="005B088F" w:rsidP="005B088F">
      <w:pPr>
        <w:keepLines/>
        <w:numPr>
          <w:ilvl w:val="0"/>
          <w:numId w:val="4"/>
        </w:numPr>
        <w:tabs>
          <w:tab w:val="num" w:pos="709"/>
        </w:tabs>
        <w:spacing w:before="120"/>
        <w:ind w:left="714" w:hanging="357"/>
        <w:jc w:val="both"/>
        <w:rPr>
          <w:rFonts w:ascii="Arial" w:eastAsia="Times New Roman" w:hAnsi="Arial" w:cs="Arial"/>
          <w:sz w:val="22"/>
          <w:szCs w:val="22"/>
        </w:rPr>
      </w:pPr>
      <w:r w:rsidRPr="005B088F">
        <w:rPr>
          <w:rFonts w:ascii="Arial" w:eastAsia="Times New Roman" w:hAnsi="Arial" w:cs="Arial"/>
          <w:sz w:val="22"/>
          <w:szCs w:val="22"/>
        </w:rPr>
        <w:t>to provide advice, training, information or other help to agencies, in particular cases, about ways of improving the quality of administrative practices and procedures; and</w:t>
      </w:r>
    </w:p>
    <w:p w14:paraId="6D768323" w14:textId="2554B8BA" w:rsidR="007E6221" w:rsidRPr="005B088F" w:rsidRDefault="007E6221" w:rsidP="005B088F">
      <w:pPr>
        <w:keepLines/>
        <w:numPr>
          <w:ilvl w:val="0"/>
          <w:numId w:val="4"/>
        </w:numPr>
        <w:tabs>
          <w:tab w:val="num" w:pos="709"/>
        </w:tabs>
        <w:spacing w:before="120"/>
        <w:ind w:left="714" w:hanging="357"/>
        <w:jc w:val="both"/>
        <w:rPr>
          <w:rFonts w:ascii="Arial" w:eastAsia="Times New Roman" w:hAnsi="Arial" w:cs="Arial"/>
          <w:sz w:val="22"/>
          <w:szCs w:val="22"/>
        </w:rPr>
      </w:pPr>
      <w:r w:rsidRPr="007E6221">
        <w:rPr>
          <w:rFonts w:ascii="Arial" w:eastAsia="Times New Roman" w:hAnsi="Arial" w:cs="Arial"/>
          <w:sz w:val="22"/>
          <w:szCs w:val="22"/>
        </w:rPr>
        <w:t>the other functions conferred on the ombudsman under this or any other Act.</w:t>
      </w:r>
    </w:p>
    <w:p w14:paraId="1E6F0AFD" w14:textId="77BD118D" w:rsidR="00D965F2" w:rsidRDefault="00D965F2" w:rsidP="005B088F">
      <w:pPr>
        <w:numPr>
          <w:ilvl w:val="0"/>
          <w:numId w:val="1"/>
        </w:numPr>
        <w:tabs>
          <w:tab w:val="clear" w:pos="720"/>
          <w:tab w:val="num" w:pos="360"/>
        </w:tabs>
        <w:spacing w:before="240"/>
        <w:ind w:left="360"/>
        <w:jc w:val="both"/>
        <w:rPr>
          <w:rFonts w:ascii="Arial" w:eastAsia="Times New Roman" w:hAnsi="Arial" w:cs="Arial"/>
          <w:sz w:val="22"/>
          <w:szCs w:val="22"/>
        </w:rPr>
      </w:pPr>
      <w:r w:rsidRPr="00D965F2">
        <w:rPr>
          <w:rFonts w:ascii="Arial" w:eastAsia="Times New Roman" w:hAnsi="Arial" w:cs="Arial"/>
          <w:sz w:val="22"/>
          <w:szCs w:val="22"/>
        </w:rPr>
        <w:t xml:space="preserve">The </w:t>
      </w:r>
      <w:r w:rsidRPr="00D965F2">
        <w:rPr>
          <w:rFonts w:ascii="Arial" w:eastAsia="Times New Roman" w:hAnsi="Arial" w:cs="Arial"/>
          <w:i/>
          <w:iCs/>
          <w:sz w:val="22"/>
          <w:szCs w:val="22"/>
        </w:rPr>
        <w:t>Inspector of Detention Services Act 2022</w:t>
      </w:r>
      <w:r>
        <w:rPr>
          <w:rFonts w:ascii="Arial" w:eastAsia="Times New Roman" w:hAnsi="Arial" w:cs="Arial"/>
          <w:sz w:val="22"/>
          <w:szCs w:val="22"/>
        </w:rPr>
        <w:t xml:space="preserve"> </w:t>
      </w:r>
      <w:r w:rsidRPr="00D965F2">
        <w:rPr>
          <w:rFonts w:ascii="Arial" w:eastAsia="Times New Roman" w:hAnsi="Arial" w:cs="Arial"/>
          <w:sz w:val="22"/>
          <w:szCs w:val="22"/>
        </w:rPr>
        <w:t xml:space="preserve">establishes the role of the Inspector </w:t>
      </w:r>
      <w:r>
        <w:rPr>
          <w:rFonts w:ascii="Arial" w:eastAsia="Times New Roman" w:hAnsi="Arial" w:cs="Arial"/>
          <w:sz w:val="22"/>
          <w:szCs w:val="22"/>
        </w:rPr>
        <w:t xml:space="preserve">of Detention Services (the Inspector) </w:t>
      </w:r>
      <w:r w:rsidRPr="00D965F2">
        <w:rPr>
          <w:rFonts w:ascii="Arial" w:eastAsia="Times New Roman" w:hAnsi="Arial" w:cs="Arial"/>
          <w:sz w:val="22"/>
          <w:szCs w:val="22"/>
        </w:rPr>
        <w:t>to be held by the Ombudsman, with the Inspector to be supported by the Office of the Queensland Ombudsman</w:t>
      </w:r>
      <w:r>
        <w:rPr>
          <w:rFonts w:ascii="Arial" w:eastAsia="Times New Roman" w:hAnsi="Arial" w:cs="Arial"/>
          <w:sz w:val="22"/>
          <w:szCs w:val="22"/>
        </w:rPr>
        <w:t xml:space="preserve">. </w:t>
      </w:r>
    </w:p>
    <w:p w14:paraId="7492A152" w14:textId="2880BD91" w:rsidR="00D965F2" w:rsidRPr="00D965F2" w:rsidRDefault="00D965F2" w:rsidP="00D965F2">
      <w:pPr>
        <w:numPr>
          <w:ilvl w:val="0"/>
          <w:numId w:val="1"/>
        </w:numPr>
        <w:tabs>
          <w:tab w:val="clear" w:pos="720"/>
          <w:tab w:val="num" w:pos="360"/>
        </w:tabs>
        <w:spacing w:before="240"/>
        <w:ind w:left="360"/>
        <w:jc w:val="both"/>
        <w:rPr>
          <w:rFonts w:ascii="Arial" w:eastAsia="Times New Roman" w:hAnsi="Arial" w:cs="Arial"/>
          <w:sz w:val="22"/>
          <w:szCs w:val="22"/>
        </w:rPr>
      </w:pPr>
      <w:r w:rsidRPr="00D965F2">
        <w:rPr>
          <w:rFonts w:ascii="Arial" w:eastAsia="Times New Roman" w:hAnsi="Arial" w:cs="Arial"/>
          <w:sz w:val="22"/>
          <w:szCs w:val="22"/>
        </w:rPr>
        <w:t xml:space="preserve">The </w:t>
      </w:r>
      <w:r>
        <w:rPr>
          <w:rFonts w:ascii="Arial" w:eastAsia="Times New Roman" w:hAnsi="Arial" w:cs="Arial"/>
          <w:sz w:val="22"/>
          <w:szCs w:val="22"/>
        </w:rPr>
        <w:t xml:space="preserve">role </w:t>
      </w:r>
      <w:r w:rsidRPr="00D965F2">
        <w:rPr>
          <w:rFonts w:ascii="Arial" w:eastAsia="Times New Roman" w:hAnsi="Arial" w:cs="Arial"/>
          <w:sz w:val="22"/>
          <w:szCs w:val="22"/>
        </w:rPr>
        <w:t xml:space="preserve">of the </w:t>
      </w:r>
      <w:r>
        <w:rPr>
          <w:rFonts w:ascii="Arial" w:eastAsia="Times New Roman" w:hAnsi="Arial" w:cs="Arial"/>
          <w:sz w:val="22"/>
          <w:szCs w:val="22"/>
        </w:rPr>
        <w:t>I</w:t>
      </w:r>
      <w:r w:rsidRPr="00D965F2">
        <w:rPr>
          <w:rFonts w:ascii="Arial" w:eastAsia="Times New Roman" w:hAnsi="Arial" w:cs="Arial"/>
          <w:sz w:val="22"/>
          <w:szCs w:val="22"/>
        </w:rPr>
        <w:t xml:space="preserve">nspector </w:t>
      </w:r>
      <w:r>
        <w:rPr>
          <w:rFonts w:ascii="Arial" w:eastAsia="Times New Roman" w:hAnsi="Arial" w:cs="Arial"/>
          <w:sz w:val="22"/>
          <w:szCs w:val="22"/>
        </w:rPr>
        <w:t>is to p</w:t>
      </w:r>
      <w:r w:rsidRPr="00D965F2">
        <w:rPr>
          <w:rFonts w:ascii="Arial" w:eastAsia="Times New Roman" w:hAnsi="Arial" w:cs="Arial"/>
          <w:sz w:val="22"/>
          <w:szCs w:val="22"/>
        </w:rPr>
        <w:t xml:space="preserve">romote the humane treatment of detainees and the prevention of harm through reviews, inspections and independent reporting.  </w:t>
      </w:r>
    </w:p>
    <w:p w14:paraId="662E78CC" w14:textId="2070C013" w:rsidR="00094025" w:rsidRPr="005B088F" w:rsidRDefault="00094025"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005B088F" w:rsidRPr="005B088F">
        <w:rPr>
          <w:rFonts w:ascii="Arial" w:hAnsi="Arial" w:cs="Arial"/>
          <w:sz w:val="22"/>
          <w:szCs w:val="22"/>
        </w:rPr>
        <w:t xml:space="preserve">that </w:t>
      </w:r>
      <w:r w:rsidR="00141C0D">
        <w:rPr>
          <w:rFonts w:ascii="Arial" w:hAnsi="Arial" w:cs="Arial"/>
          <w:sz w:val="22"/>
          <w:szCs w:val="22"/>
        </w:rPr>
        <w:t>Mr Anthony Reilly</w:t>
      </w:r>
      <w:r w:rsidR="005B088F" w:rsidRPr="005B088F">
        <w:rPr>
          <w:rFonts w:ascii="Arial" w:hAnsi="Arial" w:cs="Arial"/>
          <w:sz w:val="22"/>
          <w:szCs w:val="22"/>
        </w:rPr>
        <w:t xml:space="preserve"> be recommended to the Governor in Council for appointment as the </w:t>
      </w:r>
      <w:r w:rsidR="000123DF" w:rsidRPr="000123DF">
        <w:rPr>
          <w:rFonts w:ascii="Arial" w:hAnsi="Arial" w:cs="Arial"/>
          <w:sz w:val="22"/>
          <w:szCs w:val="22"/>
        </w:rPr>
        <w:t>Ombudsman and the Inspector of Detention Services for a term of three years commencing on and from 10 July 2023</w:t>
      </w:r>
      <w:r w:rsidR="005B088F">
        <w:rPr>
          <w:rFonts w:ascii="Arial" w:hAnsi="Arial" w:cs="Arial"/>
          <w:sz w:val="22"/>
          <w:szCs w:val="22"/>
        </w:rPr>
        <w:t>.</w:t>
      </w:r>
    </w:p>
    <w:p w14:paraId="73D152CE" w14:textId="16779589" w:rsidR="005B088F" w:rsidRPr="00C17033" w:rsidRDefault="005B088F"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noted</w:t>
      </w:r>
      <w:r w:rsidRPr="003C04DC">
        <w:rPr>
          <w:rFonts w:ascii="Arial" w:hAnsi="Arial" w:cs="Arial"/>
          <w:sz w:val="22"/>
          <w:szCs w:val="22"/>
        </w:rPr>
        <w:t xml:space="preserve"> </w:t>
      </w:r>
      <w:r w:rsidR="000123DF" w:rsidRPr="000123DF">
        <w:rPr>
          <w:rFonts w:ascii="Arial" w:hAnsi="Arial" w:cs="Arial"/>
          <w:sz w:val="22"/>
          <w:szCs w:val="22"/>
        </w:rPr>
        <w:t xml:space="preserve">that consultation with the Legal Affairs and Safety Committee, as required by section 59 of the </w:t>
      </w:r>
      <w:r w:rsidR="000123DF" w:rsidRPr="000D76E7">
        <w:rPr>
          <w:rFonts w:ascii="Arial" w:hAnsi="Arial" w:cs="Arial"/>
          <w:i/>
          <w:iCs/>
          <w:sz w:val="22"/>
          <w:szCs w:val="22"/>
        </w:rPr>
        <w:t>Ombudsman Act 2001</w:t>
      </w:r>
      <w:r w:rsidR="000123DF" w:rsidRPr="000123DF">
        <w:rPr>
          <w:rFonts w:ascii="Arial" w:hAnsi="Arial" w:cs="Arial"/>
          <w:sz w:val="22"/>
          <w:szCs w:val="22"/>
        </w:rPr>
        <w:t>, will be undertaken prior to seeking the Governor in Council’s approval</w:t>
      </w:r>
      <w:r>
        <w:rPr>
          <w:rFonts w:ascii="Arial" w:hAnsi="Arial" w:cs="Arial"/>
          <w:sz w:val="22"/>
          <w:szCs w:val="22"/>
        </w:rPr>
        <w:t xml:space="preserve">. </w:t>
      </w:r>
    </w:p>
    <w:p w14:paraId="6C0B71A6" w14:textId="6E61B892" w:rsidR="00C17033" w:rsidRPr="00C17033" w:rsidRDefault="00C17033" w:rsidP="00D1699F">
      <w:pPr>
        <w:numPr>
          <w:ilvl w:val="0"/>
          <w:numId w:val="1"/>
        </w:numPr>
        <w:tabs>
          <w:tab w:val="clear" w:pos="720"/>
          <w:tab w:val="num" w:pos="360"/>
        </w:tabs>
        <w:spacing w:before="360"/>
        <w:ind w:left="357" w:hanging="357"/>
        <w:jc w:val="both"/>
        <w:rPr>
          <w:rFonts w:ascii="Arial" w:hAnsi="Arial" w:cs="Arial"/>
          <w:bCs/>
          <w:spacing w:val="-3"/>
          <w:sz w:val="22"/>
          <w:szCs w:val="22"/>
        </w:rPr>
      </w:pPr>
      <w:r>
        <w:rPr>
          <w:rFonts w:ascii="Arial" w:hAnsi="Arial" w:cs="Arial"/>
          <w:i/>
          <w:iCs/>
          <w:sz w:val="22"/>
          <w:szCs w:val="22"/>
          <w:u w:val="single"/>
        </w:rPr>
        <w:t>Attachments</w:t>
      </w:r>
      <w:r w:rsidR="00D1699F">
        <w:rPr>
          <w:rFonts w:ascii="Arial" w:hAnsi="Arial" w:cs="Arial"/>
          <w:sz w:val="22"/>
          <w:szCs w:val="22"/>
        </w:rPr>
        <w:t>:</w:t>
      </w:r>
    </w:p>
    <w:p w14:paraId="1FDD248B" w14:textId="1FB7EF3D" w:rsidR="00094025" w:rsidRPr="00D1699F" w:rsidRDefault="00C17033" w:rsidP="0068682B">
      <w:pPr>
        <w:numPr>
          <w:ilvl w:val="0"/>
          <w:numId w:val="9"/>
        </w:numPr>
        <w:spacing w:before="120"/>
        <w:jc w:val="both"/>
        <w:rPr>
          <w:rFonts w:ascii="Arial" w:hAnsi="Arial" w:cs="Arial"/>
          <w:bCs/>
          <w:spacing w:val="-3"/>
          <w:sz w:val="22"/>
          <w:szCs w:val="22"/>
        </w:rPr>
      </w:pPr>
      <w:r w:rsidRPr="00C17033">
        <w:rPr>
          <w:rFonts w:ascii="Arial" w:hAnsi="Arial" w:cs="Arial"/>
          <w:sz w:val="22"/>
          <w:szCs w:val="22"/>
        </w:rPr>
        <w:t>Nil.</w:t>
      </w:r>
    </w:p>
    <w:sectPr w:rsidR="00094025" w:rsidRPr="00D1699F" w:rsidSect="00DA4A55">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BC02C" w14:textId="77777777" w:rsidR="000057C8" w:rsidRDefault="000057C8" w:rsidP="00D6589B">
      <w:r>
        <w:separator/>
      </w:r>
    </w:p>
  </w:endnote>
  <w:endnote w:type="continuationSeparator" w:id="0">
    <w:p w14:paraId="174087EF" w14:textId="77777777" w:rsidR="000057C8" w:rsidRDefault="000057C8" w:rsidP="00D6589B">
      <w:r>
        <w:continuationSeparator/>
      </w:r>
    </w:p>
  </w:endnote>
  <w:endnote w:type="continuationNotice" w:id="1">
    <w:p w14:paraId="4C7A5C18" w14:textId="77777777" w:rsidR="000057C8" w:rsidRDefault="00005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267F2" w14:textId="77777777" w:rsidR="000057C8" w:rsidRDefault="000057C8" w:rsidP="00D6589B">
      <w:r>
        <w:separator/>
      </w:r>
    </w:p>
  </w:footnote>
  <w:footnote w:type="continuationSeparator" w:id="0">
    <w:p w14:paraId="17D32BFF" w14:textId="77777777" w:rsidR="000057C8" w:rsidRDefault="000057C8" w:rsidP="00D6589B">
      <w:r>
        <w:continuationSeparator/>
      </w:r>
    </w:p>
  </w:footnote>
  <w:footnote w:type="continuationNotice" w:id="1">
    <w:p w14:paraId="3CACA5A3" w14:textId="77777777" w:rsidR="000057C8" w:rsidRDefault="000057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8BAFA" w14:textId="77777777" w:rsidR="00D1699F" w:rsidRPr="00937A4A" w:rsidRDefault="00D1699F" w:rsidP="00D1699F">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6A9DDF0" w14:textId="131B652B" w:rsidR="00D1699F" w:rsidRPr="00937A4A" w:rsidRDefault="00D1699F" w:rsidP="00D1699F">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DB42736" w14:textId="29C97218" w:rsidR="00D1699F" w:rsidRPr="00937A4A" w:rsidRDefault="00D1699F" w:rsidP="00D1699F">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May 2023</w:t>
    </w:r>
  </w:p>
  <w:p w14:paraId="03513975" w14:textId="6DAD205B" w:rsidR="00D1699F" w:rsidRDefault="00D1699F" w:rsidP="00D1699F">
    <w:pPr>
      <w:pStyle w:val="Header"/>
      <w:spacing w:before="120"/>
      <w:rPr>
        <w:rFonts w:ascii="Arial" w:hAnsi="Arial" w:cs="Arial"/>
        <w:b/>
        <w:sz w:val="22"/>
        <w:szCs w:val="22"/>
        <w:u w:val="single"/>
      </w:rPr>
    </w:pPr>
    <w:r>
      <w:rPr>
        <w:rFonts w:ascii="Arial" w:hAnsi="Arial" w:cs="Arial"/>
        <w:b/>
        <w:sz w:val="22"/>
        <w:szCs w:val="22"/>
        <w:u w:val="single"/>
      </w:rPr>
      <w:t>Reappointment of the Ombudsman and Inspector of Detention Services</w:t>
    </w:r>
  </w:p>
  <w:p w14:paraId="5E15F446" w14:textId="03E63D1D" w:rsidR="00D1699F" w:rsidRDefault="00D1699F" w:rsidP="00D1699F">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and Minister for the Prevention of Domestic and Family Violence</w:t>
    </w:r>
  </w:p>
  <w:p w14:paraId="0B49192C" w14:textId="77777777" w:rsidR="00D1699F" w:rsidRDefault="00D1699F" w:rsidP="00D1699F">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A6F78"/>
    <w:multiLevelType w:val="hybridMultilevel"/>
    <w:tmpl w:val="2CA8B00A"/>
    <w:lvl w:ilvl="0" w:tplc="7F267702">
      <w:start w:val="1"/>
      <w:numFmt w:val="lowerRoman"/>
      <w:lvlText w:val="(%1)"/>
      <w:lvlJc w:val="left"/>
      <w:pPr>
        <w:tabs>
          <w:tab w:val="num" w:pos="360"/>
        </w:tabs>
        <w:ind w:left="360" w:hanging="360"/>
      </w:pPr>
      <w:rPr>
        <w:rFonts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0B213167"/>
    <w:multiLevelType w:val="hybridMultilevel"/>
    <w:tmpl w:val="FD4A88D6"/>
    <w:lvl w:ilvl="0" w:tplc="651EAF8A">
      <w:start w:val="1"/>
      <w:numFmt w:val="lowerLetter"/>
      <w:lvlText w:val="(%1)"/>
      <w:lvlJc w:val="left"/>
      <w:pPr>
        <w:tabs>
          <w:tab w:val="num" w:pos="360"/>
        </w:tabs>
        <w:ind w:left="360" w:hanging="360"/>
      </w:pPr>
      <w:rPr>
        <w:rFonts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117C05EE"/>
    <w:multiLevelType w:val="hybridMultilevel"/>
    <w:tmpl w:val="B8A8BA9A"/>
    <w:lvl w:ilvl="0" w:tplc="0C090019">
      <w:start w:val="1"/>
      <w:numFmt w:val="lowerLetter"/>
      <w:lvlText w:val="%1."/>
      <w:lvlJc w:val="left"/>
      <w:pPr>
        <w:tabs>
          <w:tab w:val="num" w:pos="720"/>
        </w:tabs>
        <w:ind w:left="720" w:hanging="360"/>
      </w:pPr>
    </w:lvl>
    <w:lvl w:ilvl="1" w:tplc="0C090019">
      <w:start w:val="1"/>
      <w:numFmt w:val="lowerLetter"/>
      <w:lvlText w:val="%2."/>
      <w:lvlJc w:val="left"/>
      <w:pPr>
        <w:ind w:left="1440" w:hanging="360"/>
      </w:p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11D2532F"/>
    <w:multiLevelType w:val="hybridMultilevel"/>
    <w:tmpl w:val="FD4A88D6"/>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6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2504B7B"/>
    <w:multiLevelType w:val="hybridMultilevel"/>
    <w:tmpl w:val="DB4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D5D69"/>
    <w:multiLevelType w:val="hybridMultilevel"/>
    <w:tmpl w:val="2CA8B00A"/>
    <w:lvl w:ilvl="0" w:tplc="7F267702">
      <w:start w:val="1"/>
      <w:numFmt w:val="lowerRoman"/>
      <w:lvlText w:val="(%1)"/>
      <w:lvlJc w:val="left"/>
      <w:pPr>
        <w:tabs>
          <w:tab w:val="num" w:pos="360"/>
        </w:tabs>
        <w:ind w:left="360" w:hanging="360"/>
      </w:pPr>
      <w:rPr>
        <w:rFonts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5C380916"/>
    <w:multiLevelType w:val="hybridMultilevel"/>
    <w:tmpl w:val="F988581C"/>
    <w:lvl w:ilvl="0" w:tplc="7F88E6E4">
      <w:start w:val="1"/>
      <w:numFmt w:val="decimal"/>
      <w:lvlText w:val="%1."/>
      <w:lvlJc w:val="left"/>
      <w:pPr>
        <w:tabs>
          <w:tab w:val="num" w:pos="360"/>
        </w:tabs>
        <w:ind w:left="360" w:hanging="360"/>
      </w:pPr>
      <w:rPr>
        <w:b w:val="0"/>
        <w:bCs/>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203666044">
    <w:abstractNumId w:val="8"/>
  </w:num>
  <w:num w:numId="2" w16cid:durableId="1777092929">
    <w:abstractNumId w:val="7"/>
  </w:num>
  <w:num w:numId="3" w16cid:durableId="605894498">
    <w:abstractNumId w:val="6"/>
  </w:num>
  <w:num w:numId="4" w16cid:durableId="151916593">
    <w:abstractNumId w:val="1"/>
  </w:num>
  <w:num w:numId="5" w16cid:durableId="1402174487">
    <w:abstractNumId w:val="0"/>
  </w:num>
  <w:num w:numId="6" w16cid:durableId="1175418039">
    <w:abstractNumId w:val="5"/>
  </w:num>
  <w:num w:numId="7" w16cid:durableId="1876846186">
    <w:abstractNumId w:val="3"/>
  </w:num>
  <w:num w:numId="8" w16cid:durableId="469249430">
    <w:abstractNumId w:val="2"/>
  </w:num>
  <w:num w:numId="9" w16cid:durableId="15640289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88F"/>
    <w:rsid w:val="000057C8"/>
    <w:rsid w:val="0000598A"/>
    <w:rsid w:val="000121ED"/>
    <w:rsid w:val="000123DF"/>
    <w:rsid w:val="00035DDF"/>
    <w:rsid w:val="00080F8F"/>
    <w:rsid w:val="00094025"/>
    <w:rsid w:val="000D76E7"/>
    <w:rsid w:val="000F36EA"/>
    <w:rsid w:val="00141C0D"/>
    <w:rsid w:val="001A06C0"/>
    <w:rsid w:val="001E209B"/>
    <w:rsid w:val="002024F2"/>
    <w:rsid w:val="00307906"/>
    <w:rsid w:val="00367A38"/>
    <w:rsid w:val="003C04DC"/>
    <w:rsid w:val="003D0EFE"/>
    <w:rsid w:val="00442B20"/>
    <w:rsid w:val="00470563"/>
    <w:rsid w:val="00501C66"/>
    <w:rsid w:val="00550270"/>
    <w:rsid w:val="00550373"/>
    <w:rsid w:val="005B088F"/>
    <w:rsid w:val="006036A6"/>
    <w:rsid w:val="006462CE"/>
    <w:rsid w:val="00663A4B"/>
    <w:rsid w:val="00667A0C"/>
    <w:rsid w:val="00681B39"/>
    <w:rsid w:val="0068682B"/>
    <w:rsid w:val="006C6E63"/>
    <w:rsid w:val="00732E22"/>
    <w:rsid w:val="00762359"/>
    <w:rsid w:val="007633FE"/>
    <w:rsid w:val="00766FC7"/>
    <w:rsid w:val="007704A8"/>
    <w:rsid w:val="00775F04"/>
    <w:rsid w:val="007D5E26"/>
    <w:rsid w:val="007E6221"/>
    <w:rsid w:val="008B7DE8"/>
    <w:rsid w:val="008C495A"/>
    <w:rsid w:val="008F44CD"/>
    <w:rsid w:val="0091737C"/>
    <w:rsid w:val="009753BE"/>
    <w:rsid w:val="009900CF"/>
    <w:rsid w:val="009B45D8"/>
    <w:rsid w:val="009E283C"/>
    <w:rsid w:val="00A203D0"/>
    <w:rsid w:val="00A527A5"/>
    <w:rsid w:val="00A96B77"/>
    <w:rsid w:val="00AB262C"/>
    <w:rsid w:val="00AE707D"/>
    <w:rsid w:val="00C07656"/>
    <w:rsid w:val="00C17033"/>
    <w:rsid w:val="00C27C87"/>
    <w:rsid w:val="00C44470"/>
    <w:rsid w:val="00C828D7"/>
    <w:rsid w:val="00C83B7A"/>
    <w:rsid w:val="00CD058C"/>
    <w:rsid w:val="00CF0D8A"/>
    <w:rsid w:val="00CF3F7A"/>
    <w:rsid w:val="00D1699F"/>
    <w:rsid w:val="00D26836"/>
    <w:rsid w:val="00D433E5"/>
    <w:rsid w:val="00D6589B"/>
    <w:rsid w:val="00D75134"/>
    <w:rsid w:val="00D965F2"/>
    <w:rsid w:val="00DA4A55"/>
    <w:rsid w:val="00DE3C17"/>
    <w:rsid w:val="00EB5F68"/>
    <w:rsid w:val="00EC5418"/>
    <w:rsid w:val="00F07324"/>
    <w:rsid w:val="00F431CE"/>
    <w:rsid w:val="00FC5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12B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styleId="ListParagraph">
    <w:name w:val="List Paragraph"/>
    <w:basedOn w:val="Normal"/>
    <w:uiPriority w:val="34"/>
    <w:qFormat/>
    <w:rsid w:val="00D965F2"/>
    <w:pPr>
      <w:ind w:left="720"/>
      <w:contextualSpacing/>
    </w:pPr>
  </w:style>
  <w:style w:type="paragraph" w:styleId="Revision">
    <w:name w:val="Revision"/>
    <w:hidden/>
    <w:uiPriority w:val="99"/>
    <w:semiHidden/>
    <w:rsid w:val="00C17033"/>
    <w:rPr>
      <w:rFonts w:ascii="Times New Roman" w:hAnsi="Times New Roman"/>
      <w:color w:val="000000"/>
      <w:sz w:val="24"/>
    </w:rPr>
  </w:style>
  <w:style w:type="character" w:styleId="CommentReference">
    <w:name w:val="annotation reference"/>
    <w:basedOn w:val="DefaultParagraphFont"/>
    <w:rsid w:val="00C44470"/>
    <w:rPr>
      <w:sz w:val="16"/>
      <w:szCs w:val="16"/>
    </w:rPr>
  </w:style>
  <w:style w:type="paragraph" w:styleId="CommentText">
    <w:name w:val="annotation text"/>
    <w:basedOn w:val="Normal"/>
    <w:link w:val="CommentTextChar"/>
    <w:rsid w:val="00C44470"/>
    <w:rPr>
      <w:sz w:val="20"/>
    </w:rPr>
  </w:style>
  <w:style w:type="character" w:customStyle="1" w:styleId="CommentTextChar">
    <w:name w:val="Comment Text Char"/>
    <w:basedOn w:val="DefaultParagraphFont"/>
    <w:link w:val="CommentText"/>
    <w:rsid w:val="00C44470"/>
    <w:rPr>
      <w:rFonts w:ascii="Times New Roman" w:hAnsi="Times New Roman"/>
      <w:color w:val="000000"/>
    </w:rPr>
  </w:style>
  <w:style w:type="paragraph" w:styleId="CommentSubject">
    <w:name w:val="annotation subject"/>
    <w:basedOn w:val="CommentText"/>
    <w:next w:val="CommentText"/>
    <w:link w:val="CommentSubjectChar"/>
    <w:semiHidden/>
    <w:unhideWhenUsed/>
    <w:rsid w:val="00C44470"/>
    <w:rPr>
      <w:b/>
      <w:bCs/>
    </w:rPr>
  </w:style>
  <w:style w:type="character" w:customStyle="1" w:styleId="CommentSubjectChar">
    <w:name w:val="Comment Subject Char"/>
    <w:basedOn w:val="CommentTextChar"/>
    <w:link w:val="CommentSubject"/>
    <w:semiHidden/>
    <w:rsid w:val="00C44470"/>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7880B-42F5-4E1A-BE17-F6EDB3EC3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D8FE7-1E94-412D-B06F-7D3D28FD1FE6}">
  <ds:schemaRefs>
    <ds:schemaRef ds:uri="63e311de-a790-43ff-be63-577c26c7507c"/>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b8ed82f2-f7bd-423c-8698-5e132afe9245"/>
    <ds:schemaRef ds:uri="http://www.w3.org/XML/1998/namespace"/>
    <ds:schemaRef ds:uri="http://purl.org/dc/dcmitype/"/>
  </ds:schemaRefs>
</ds:datastoreItem>
</file>

<file path=customXml/itemProps3.xml><?xml version="1.0" encoding="utf-8"?>
<ds:datastoreItem xmlns:ds="http://schemas.openxmlformats.org/officeDocument/2006/customXml" ds:itemID="{99AAE7EF-5755-4021-9F57-1D5C945B7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310</Words>
  <Characters>1636</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Queensland Government</vt:lpstr>
    </vt:vector>
  </TitlesOfParts>
  <Company/>
  <LinksUpToDate>false</LinksUpToDate>
  <CharactersWithSpaces>1938</CharactersWithSpaces>
  <SharedDoc>false</SharedDoc>
  <HyperlinkBase>https://www.cabinet.qld.gov.au/documents/2023/May/ApptOmbudsman/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2023-09-07T04:03:00Z</dcterms:created>
  <dcterms:modified xsi:type="dcterms:W3CDTF">2024-09-26T21:51:00Z</dcterms:modified>
  <cp:category>Parliament,Significant_Appointments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y fmtid="{D5CDD505-2E9C-101B-9397-08002B2CF9AE}" pid="4" name="MediaServiceImageTags">
    <vt:lpwstr/>
  </property>
</Properties>
</file>